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5F" w:rsidRDefault="00C0425F"/>
    <w:p w:rsidR="00C0425F" w:rsidRDefault="00C0425F"/>
    <w:p w:rsidR="00C0425F" w:rsidRDefault="00D311F6">
      <w:r>
        <w:t>Базовые брутто-тарифы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341"/>
        <w:gridCol w:w="1313"/>
        <w:gridCol w:w="1865"/>
        <w:gridCol w:w="1466"/>
        <w:gridCol w:w="1889"/>
        <w:gridCol w:w="1891"/>
      </w:tblGrid>
      <w:tr w:rsidR="00C0425F" w:rsidRPr="0014411C" w:rsidTr="00C0425F">
        <w:trPr>
          <w:trHeight w:val="286"/>
        </w:trPr>
        <w:tc>
          <w:tcPr>
            <w:tcW w:w="2610" w:type="dxa"/>
            <w:noWrap/>
            <w:vAlign w:val="center"/>
            <w:hideMark/>
          </w:tcPr>
          <w:p w:rsidR="00C0425F" w:rsidRPr="0014411C" w:rsidRDefault="00C0425F" w:rsidP="00D311F6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Группа</w:t>
            </w:r>
            <w:r w:rsidR="00D311F6">
              <w:rPr>
                <w:bCs/>
                <w:sz w:val="22"/>
                <w:szCs w:val="22"/>
              </w:rPr>
              <w:t xml:space="preserve"> ТС / риски</w:t>
            </w:r>
          </w:p>
        </w:tc>
        <w:tc>
          <w:tcPr>
            <w:tcW w:w="1341" w:type="dxa"/>
            <w:noWrap/>
            <w:hideMark/>
          </w:tcPr>
          <w:p w:rsidR="00C0425F" w:rsidRPr="0014411C" w:rsidRDefault="00C0425F" w:rsidP="00D311F6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Риски «Ущерб»</w:t>
            </w:r>
          </w:p>
        </w:tc>
        <w:tc>
          <w:tcPr>
            <w:tcW w:w="1378" w:type="dxa"/>
          </w:tcPr>
          <w:p w:rsidR="00C0425F" w:rsidRPr="0014411C" w:rsidRDefault="00C0425F" w:rsidP="00D311F6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Риски «Хищение»</w:t>
            </w:r>
          </w:p>
        </w:tc>
        <w:tc>
          <w:tcPr>
            <w:tcW w:w="1075" w:type="dxa"/>
          </w:tcPr>
          <w:p w:rsidR="00C0425F" w:rsidRPr="0014411C" w:rsidRDefault="00C0425F" w:rsidP="00D311F6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Риски </w:t>
            </w:r>
            <w:r w:rsidRPr="0014411C">
              <w:rPr>
                <w:color w:val="000000"/>
                <w:sz w:val="22"/>
                <w:szCs w:val="22"/>
              </w:rPr>
              <w:t>«Гражданская ответственность»</w:t>
            </w:r>
          </w:p>
        </w:tc>
        <w:tc>
          <w:tcPr>
            <w:tcW w:w="1075" w:type="dxa"/>
          </w:tcPr>
          <w:p w:rsidR="00C0425F" w:rsidRPr="0014411C" w:rsidRDefault="00C0425F" w:rsidP="00D311F6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Риски </w:t>
            </w:r>
            <w:r w:rsidRPr="0014411C">
              <w:rPr>
                <w:color w:val="000000"/>
                <w:sz w:val="22"/>
                <w:szCs w:val="22"/>
              </w:rPr>
              <w:t>«Несчастный случай»</w:t>
            </w:r>
          </w:p>
        </w:tc>
        <w:tc>
          <w:tcPr>
            <w:tcW w:w="1075" w:type="dxa"/>
          </w:tcPr>
          <w:p w:rsidR="00C0425F" w:rsidRPr="0014411C" w:rsidRDefault="00C0425F" w:rsidP="00D311F6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Риски </w:t>
            </w:r>
            <w:r w:rsidR="00D311F6" w:rsidRPr="0014411C">
              <w:rPr>
                <w:color w:val="000000"/>
                <w:sz w:val="22"/>
                <w:szCs w:val="22"/>
              </w:rPr>
              <w:t>«Дополнительное оборудование»</w:t>
            </w:r>
          </w:p>
        </w:tc>
        <w:tc>
          <w:tcPr>
            <w:tcW w:w="1075" w:type="dxa"/>
          </w:tcPr>
          <w:p w:rsidR="00C0425F" w:rsidRPr="0014411C" w:rsidRDefault="00C0425F" w:rsidP="00D311F6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Риски </w:t>
            </w:r>
            <w:r w:rsidR="00D311F6">
              <w:rPr>
                <w:bCs/>
                <w:sz w:val="22"/>
                <w:szCs w:val="22"/>
              </w:rPr>
              <w:t>«</w:t>
            </w:r>
            <w:r w:rsidR="00D311F6" w:rsidRPr="0014411C">
              <w:rPr>
                <w:sz w:val="22"/>
                <w:szCs w:val="22"/>
              </w:rPr>
              <w:t>непредвиденны</w:t>
            </w:r>
            <w:r w:rsidR="00D311F6">
              <w:rPr>
                <w:sz w:val="22"/>
                <w:szCs w:val="22"/>
              </w:rPr>
              <w:t>е</w:t>
            </w:r>
            <w:r w:rsidR="00D311F6" w:rsidRPr="0014411C">
              <w:rPr>
                <w:sz w:val="22"/>
                <w:szCs w:val="22"/>
              </w:rPr>
              <w:t xml:space="preserve"> расход</w:t>
            </w:r>
            <w:r w:rsidR="00D311F6">
              <w:rPr>
                <w:sz w:val="22"/>
                <w:szCs w:val="22"/>
              </w:rPr>
              <w:t>ы</w:t>
            </w:r>
            <w:r w:rsidR="00D311F6">
              <w:rPr>
                <w:bCs/>
                <w:sz w:val="22"/>
                <w:szCs w:val="22"/>
              </w:rPr>
              <w:t>»</w:t>
            </w:r>
          </w:p>
        </w:tc>
      </w:tr>
      <w:tr w:rsidR="00C0425F" w:rsidRPr="0014411C" w:rsidTr="00C0425F">
        <w:trPr>
          <w:trHeight w:val="316"/>
        </w:trPr>
        <w:tc>
          <w:tcPr>
            <w:tcW w:w="2610" w:type="dxa"/>
            <w:vAlign w:val="bottom"/>
            <w:hideMark/>
          </w:tcPr>
          <w:p w:rsidR="00C0425F" w:rsidRPr="0014411C" w:rsidRDefault="00C0425F" w:rsidP="00C0425F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14411C">
              <w:rPr>
                <w:color w:val="000000"/>
                <w:sz w:val="22"/>
                <w:szCs w:val="22"/>
              </w:rPr>
              <w:t>Легковые автомобили</w:t>
            </w:r>
          </w:p>
        </w:tc>
        <w:tc>
          <w:tcPr>
            <w:tcW w:w="1341" w:type="dxa"/>
            <w:noWrap/>
            <w:hideMark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7,237%</w:t>
            </w:r>
          </w:p>
        </w:tc>
        <w:tc>
          <w:tcPr>
            <w:tcW w:w="1378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0,615%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0,260%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0,345%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4,353%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0,120%</w:t>
            </w:r>
          </w:p>
        </w:tc>
      </w:tr>
      <w:tr w:rsidR="00C0425F" w:rsidRPr="0014411C" w:rsidTr="00C0425F">
        <w:trPr>
          <w:trHeight w:val="316"/>
        </w:trPr>
        <w:tc>
          <w:tcPr>
            <w:tcW w:w="2610" w:type="dxa"/>
            <w:vAlign w:val="bottom"/>
            <w:hideMark/>
          </w:tcPr>
          <w:p w:rsidR="00C0425F" w:rsidRPr="0014411C" w:rsidRDefault="00C0425F" w:rsidP="00C0425F">
            <w:pPr>
              <w:spacing w:line="240" w:lineRule="auto"/>
              <w:rPr>
                <w:sz w:val="22"/>
                <w:szCs w:val="22"/>
              </w:rPr>
            </w:pPr>
            <w:r w:rsidRPr="0014411C">
              <w:rPr>
                <w:sz w:val="22"/>
                <w:szCs w:val="22"/>
              </w:rPr>
              <w:t xml:space="preserve">Микроавтобусы, фургоны, малотоннажные грузовики (грузоподъемностью до 3,5 тонн) </w:t>
            </w:r>
          </w:p>
        </w:tc>
        <w:tc>
          <w:tcPr>
            <w:tcW w:w="1341" w:type="dxa"/>
            <w:noWrap/>
            <w:vAlign w:val="bottom"/>
            <w:hideMark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5,321%</w:t>
            </w:r>
          </w:p>
        </w:tc>
        <w:tc>
          <w:tcPr>
            <w:tcW w:w="1378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0,164%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0,194%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0,255%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2,481%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0,120%</w:t>
            </w:r>
          </w:p>
        </w:tc>
      </w:tr>
      <w:tr w:rsidR="00C0425F" w:rsidRPr="0014411C" w:rsidTr="00C0425F">
        <w:trPr>
          <w:trHeight w:val="316"/>
        </w:trPr>
        <w:tc>
          <w:tcPr>
            <w:tcW w:w="2610" w:type="dxa"/>
            <w:vAlign w:val="bottom"/>
            <w:hideMark/>
          </w:tcPr>
          <w:p w:rsidR="00C0425F" w:rsidRPr="0014411C" w:rsidRDefault="00C0425F" w:rsidP="00C0425F">
            <w:pPr>
              <w:spacing w:line="240" w:lineRule="auto"/>
              <w:rPr>
                <w:sz w:val="22"/>
                <w:szCs w:val="22"/>
              </w:rPr>
            </w:pPr>
            <w:r w:rsidRPr="0014411C">
              <w:rPr>
                <w:sz w:val="22"/>
                <w:szCs w:val="22"/>
              </w:rPr>
              <w:t>Автобусы, грузовые ТС (грузоподъемностью более 3,5 тонн)</w:t>
            </w:r>
          </w:p>
        </w:tc>
        <w:tc>
          <w:tcPr>
            <w:tcW w:w="1341" w:type="dxa"/>
            <w:noWrap/>
            <w:vAlign w:val="bottom"/>
            <w:hideMark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3,260%</w:t>
            </w:r>
          </w:p>
        </w:tc>
        <w:tc>
          <w:tcPr>
            <w:tcW w:w="1378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0,043%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0,101%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0,227%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0,568%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0,120%</w:t>
            </w:r>
          </w:p>
        </w:tc>
      </w:tr>
      <w:tr w:rsidR="00C0425F" w:rsidRPr="0014411C" w:rsidTr="00C0425F">
        <w:trPr>
          <w:trHeight w:val="316"/>
        </w:trPr>
        <w:tc>
          <w:tcPr>
            <w:tcW w:w="2610" w:type="dxa"/>
            <w:vAlign w:val="bottom"/>
            <w:hideMark/>
          </w:tcPr>
          <w:p w:rsidR="00C0425F" w:rsidRPr="0014411C" w:rsidRDefault="00C0425F" w:rsidP="00C0425F">
            <w:pPr>
              <w:spacing w:line="240" w:lineRule="auto"/>
              <w:rPr>
                <w:sz w:val="22"/>
                <w:szCs w:val="22"/>
              </w:rPr>
            </w:pPr>
            <w:r w:rsidRPr="0014411C">
              <w:rPr>
                <w:sz w:val="22"/>
                <w:szCs w:val="22"/>
              </w:rPr>
              <w:t>Прицепы и полуприцепы</w:t>
            </w:r>
          </w:p>
        </w:tc>
        <w:tc>
          <w:tcPr>
            <w:tcW w:w="1341" w:type="dxa"/>
            <w:noWrap/>
            <w:vAlign w:val="bottom"/>
            <w:hideMark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2,221%</w:t>
            </w:r>
          </w:p>
        </w:tc>
        <w:tc>
          <w:tcPr>
            <w:tcW w:w="1378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0,005%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0,062%</w:t>
            </w:r>
          </w:p>
        </w:tc>
        <w:tc>
          <w:tcPr>
            <w:tcW w:w="1075" w:type="dxa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0,494%</w:t>
            </w:r>
          </w:p>
        </w:tc>
        <w:tc>
          <w:tcPr>
            <w:tcW w:w="1075" w:type="dxa"/>
            <w:vAlign w:val="bottom"/>
          </w:tcPr>
          <w:p w:rsidR="00C0425F" w:rsidRPr="0014411C" w:rsidRDefault="00C0425F" w:rsidP="00C0425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4411C">
              <w:rPr>
                <w:bCs/>
                <w:sz w:val="22"/>
                <w:szCs w:val="22"/>
              </w:rPr>
              <w:t>0,120%</w:t>
            </w:r>
          </w:p>
        </w:tc>
      </w:tr>
    </w:tbl>
    <w:p w:rsidR="00C22313" w:rsidRDefault="003A6527"/>
    <w:p w:rsidR="00D311F6" w:rsidRDefault="00D311F6" w:rsidP="00D311F6">
      <w:pPr>
        <w:rPr>
          <w:sz w:val="22"/>
          <w:szCs w:val="22"/>
        </w:rPr>
      </w:pPr>
    </w:p>
    <w:p w:rsidR="00D311F6" w:rsidRDefault="00D311F6" w:rsidP="00D311F6">
      <w:pPr>
        <w:rPr>
          <w:sz w:val="22"/>
          <w:szCs w:val="22"/>
        </w:rPr>
      </w:pPr>
      <w:bookmarkStart w:id="0" w:name="_GoBack"/>
      <w:bookmarkEnd w:id="0"/>
      <w:r w:rsidRPr="0014411C">
        <w:rPr>
          <w:sz w:val="22"/>
          <w:szCs w:val="22"/>
        </w:rPr>
        <w:t>Страховщик имеет право применять к настоящим тарифным ставкам повышающие или понижающие коэффициенты</w:t>
      </w:r>
      <w:r>
        <w:rPr>
          <w:sz w:val="22"/>
          <w:szCs w:val="22"/>
        </w:rPr>
        <w:t xml:space="preserve"> в зависимости от факторов, влияющих на страховые риски </w:t>
      </w:r>
      <w:r>
        <w:rPr>
          <w:sz w:val="22"/>
          <w:szCs w:val="22"/>
        </w:rPr>
        <w:t>и объем покрытия</w:t>
      </w:r>
      <w:r>
        <w:rPr>
          <w:sz w:val="22"/>
          <w:szCs w:val="22"/>
        </w:rPr>
        <w:t>:</w:t>
      </w:r>
    </w:p>
    <w:p w:rsidR="00D311F6" w:rsidRDefault="00D311F6" w:rsidP="00D311F6">
      <w:pPr>
        <w:jc w:val="right"/>
        <w:rPr>
          <w:sz w:val="22"/>
          <w:szCs w:val="22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658"/>
        <w:gridCol w:w="3378"/>
      </w:tblGrid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№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Факторы, влияющие на страховые риски</w:t>
            </w:r>
            <w:r>
              <w:rPr>
                <w:sz w:val="22"/>
                <w:szCs w:val="22"/>
              </w:rPr>
              <w:t xml:space="preserve"> и объем покрытия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Минимальное и максимальное значение поправочного коэффициента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 xml:space="preserve">Стаж </w:t>
            </w:r>
            <w:proofErr w:type="gramStart"/>
            <w:r w:rsidRPr="008D3FFA">
              <w:rPr>
                <w:sz w:val="22"/>
                <w:szCs w:val="22"/>
              </w:rPr>
              <w:t>вождения  и</w:t>
            </w:r>
            <w:proofErr w:type="gramEnd"/>
            <w:r w:rsidRPr="008D3FFA">
              <w:rPr>
                <w:sz w:val="22"/>
                <w:szCs w:val="22"/>
              </w:rPr>
              <w:t xml:space="preserve"> возраст лица, допущенного к управлению транспортного средства (ТС):  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0,75 – 2,00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2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Количество лиц, допущенных к управлению ТС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0,90 – 2,00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Франшиза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0,50 -0,90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4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Наличие противоугонной системы</w:t>
            </w:r>
            <w:r>
              <w:rPr>
                <w:sz w:val="22"/>
                <w:szCs w:val="22"/>
              </w:rPr>
              <w:t xml:space="preserve"> (</w:t>
            </w:r>
            <w:r w:rsidRPr="008D3FFA">
              <w:rPr>
                <w:sz w:val="22"/>
                <w:szCs w:val="22"/>
              </w:rPr>
              <w:t>поправочный коэффициент применяется к риску «Хищение»</w:t>
            </w:r>
            <w:r>
              <w:rPr>
                <w:sz w:val="22"/>
                <w:szCs w:val="22"/>
              </w:rPr>
              <w:t>)</w:t>
            </w:r>
            <w:r w:rsidRPr="008D3FFA">
              <w:rPr>
                <w:sz w:val="22"/>
                <w:szCs w:val="22"/>
              </w:rPr>
              <w:t>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0,50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5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b/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 xml:space="preserve">Наличие системы автоматического запуска двигателя, </w:t>
            </w:r>
            <w:r>
              <w:rPr>
                <w:sz w:val="22"/>
                <w:szCs w:val="22"/>
              </w:rPr>
              <w:t>(</w:t>
            </w:r>
            <w:r w:rsidRPr="008D3FFA">
              <w:rPr>
                <w:sz w:val="22"/>
                <w:szCs w:val="22"/>
              </w:rPr>
              <w:t>применяется к риску «Хищение»</w:t>
            </w:r>
            <w:r>
              <w:rPr>
                <w:sz w:val="22"/>
                <w:szCs w:val="22"/>
              </w:rPr>
              <w:t>)</w:t>
            </w:r>
            <w:r w:rsidRPr="008D3FFA">
              <w:rPr>
                <w:sz w:val="22"/>
                <w:szCs w:val="22"/>
              </w:rPr>
              <w:t>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1,10 – 1,40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6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убытков страхователя</w:t>
            </w:r>
            <w:r w:rsidRPr="008D3FFA">
              <w:rPr>
                <w:sz w:val="22"/>
                <w:szCs w:val="22"/>
              </w:rPr>
              <w:t>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0,85 – 3,50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7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Рассрочк</w:t>
            </w:r>
            <w:r>
              <w:rPr>
                <w:sz w:val="22"/>
                <w:szCs w:val="22"/>
              </w:rPr>
              <w:t>а</w:t>
            </w:r>
            <w:r w:rsidRPr="008D3FFA">
              <w:rPr>
                <w:sz w:val="22"/>
                <w:szCs w:val="22"/>
              </w:rPr>
              <w:t xml:space="preserve"> оплаты страховой премии.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0,95 – 1,10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8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Территория страхового покрытия.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1,00 – 1,25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9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Страхование</w:t>
            </w:r>
            <w:r>
              <w:rPr>
                <w:sz w:val="22"/>
                <w:szCs w:val="22"/>
              </w:rPr>
              <w:t xml:space="preserve"> дополнительного </w:t>
            </w:r>
            <w:proofErr w:type="gramStart"/>
            <w:r>
              <w:rPr>
                <w:sz w:val="22"/>
                <w:szCs w:val="22"/>
              </w:rPr>
              <w:t xml:space="preserve">комплекта </w:t>
            </w:r>
            <w:r w:rsidRPr="008D3FFA">
              <w:rPr>
                <w:sz w:val="22"/>
                <w:szCs w:val="22"/>
              </w:rPr>
              <w:t xml:space="preserve"> зимней</w:t>
            </w:r>
            <w:proofErr w:type="gramEnd"/>
            <w:r w:rsidRPr="008D3FFA">
              <w:rPr>
                <w:sz w:val="22"/>
                <w:szCs w:val="22"/>
              </w:rPr>
              <w:t xml:space="preserve"> резины.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1,02 – 1,03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10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Способ учета износа</w:t>
            </w:r>
            <w:r>
              <w:rPr>
                <w:sz w:val="22"/>
                <w:szCs w:val="22"/>
              </w:rPr>
              <w:t xml:space="preserve"> транспортного средства</w:t>
            </w:r>
            <w:r w:rsidRPr="008D3FFA">
              <w:rPr>
                <w:sz w:val="22"/>
                <w:szCs w:val="22"/>
              </w:rPr>
              <w:t>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0,75 – 1,30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11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калькуляции ущерба</w:t>
            </w:r>
            <w:r w:rsidRPr="008D3FFA">
              <w:rPr>
                <w:sz w:val="22"/>
                <w:szCs w:val="22"/>
              </w:rPr>
              <w:t>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0,75 – 1,40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12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 xml:space="preserve">Краткосрочность действия договора страхования. </w:t>
            </w:r>
            <w:r>
              <w:rPr>
                <w:sz w:val="22"/>
                <w:szCs w:val="22"/>
              </w:rPr>
              <w:t>(</w:t>
            </w:r>
            <w:r w:rsidRPr="008D3FFA">
              <w:rPr>
                <w:sz w:val="22"/>
                <w:szCs w:val="22"/>
              </w:rPr>
              <w:t>Применяется при установлении срока страхования менее года</w:t>
            </w:r>
            <w:r>
              <w:rPr>
                <w:sz w:val="22"/>
                <w:szCs w:val="22"/>
              </w:rPr>
              <w:t>)</w:t>
            </w:r>
            <w:r w:rsidRPr="008D3FFA">
              <w:rPr>
                <w:sz w:val="22"/>
                <w:szCs w:val="22"/>
              </w:rPr>
              <w:t>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0,3 – 0,95</w:t>
            </w:r>
          </w:p>
        </w:tc>
      </w:tr>
      <w:tr w:rsidR="00D311F6" w:rsidRPr="008D3FFA" w:rsidTr="00F5693C"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13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Страхование ТС с правым рулем.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1,00 -</w:t>
            </w:r>
            <w:r w:rsidRPr="008D3FFA">
              <w:rPr>
                <w:sz w:val="22"/>
                <w:szCs w:val="22"/>
              </w:rPr>
              <w:t>1,40</w:t>
            </w:r>
          </w:p>
        </w:tc>
      </w:tr>
      <w:tr w:rsidR="00D311F6" w:rsidRPr="008D3FFA" w:rsidTr="00F5693C">
        <w:trPr>
          <w:trHeight w:val="557"/>
        </w:trPr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14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Паушальная система </w:t>
            </w:r>
            <w:r w:rsidRPr="008D3FFA">
              <w:rPr>
                <w:sz w:val="22"/>
                <w:szCs w:val="22"/>
              </w:rPr>
              <w:t>по риску «Несчастный случай».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1,00 – 1,14</w:t>
            </w:r>
          </w:p>
        </w:tc>
      </w:tr>
      <w:tr w:rsidR="00D311F6" w:rsidRPr="008D3FFA" w:rsidTr="00F5693C">
        <w:trPr>
          <w:trHeight w:val="426"/>
        </w:trPr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15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Количество транспортных средств в парке.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0,60 – 0,97</w:t>
            </w:r>
          </w:p>
        </w:tc>
      </w:tr>
      <w:tr w:rsidR="00D311F6" w:rsidRPr="008D3FFA" w:rsidTr="00F5693C">
        <w:trPr>
          <w:trHeight w:val="71"/>
        </w:trPr>
        <w:tc>
          <w:tcPr>
            <w:tcW w:w="546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16</w:t>
            </w:r>
          </w:p>
        </w:tc>
        <w:tc>
          <w:tcPr>
            <w:tcW w:w="5658" w:type="dxa"/>
            <w:vAlign w:val="center"/>
          </w:tcPr>
          <w:p w:rsidR="00D311F6" w:rsidRPr="008D3FFA" w:rsidRDefault="00D311F6" w:rsidP="00F5693C">
            <w:pPr>
              <w:jc w:val="left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Прочие факторы, влияющие на страховые риски</w:t>
            </w:r>
          </w:p>
        </w:tc>
        <w:tc>
          <w:tcPr>
            <w:tcW w:w="3378" w:type="dxa"/>
            <w:vAlign w:val="center"/>
          </w:tcPr>
          <w:p w:rsidR="00D311F6" w:rsidRPr="008D3FFA" w:rsidRDefault="00D311F6" w:rsidP="00F5693C">
            <w:pPr>
              <w:jc w:val="center"/>
              <w:rPr>
                <w:sz w:val="22"/>
                <w:szCs w:val="22"/>
              </w:rPr>
            </w:pPr>
            <w:r w:rsidRPr="008D3FFA">
              <w:rPr>
                <w:sz w:val="22"/>
                <w:szCs w:val="22"/>
              </w:rPr>
              <w:t>0,50 – 10,0</w:t>
            </w:r>
          </w:p>
        </w:tc>
      </w:tr>
    </w:tbl>
    <w:p w:rsidR="00D311F6" w:rsidRPr="0014411C" w:rsidRDefault="00D311F6" w:rsidP="00D311F6">
      <w:pPr>
        <w:rPr>
          <w:sz w:val="22"/>
          <w:szCs w:val="22"/>
        </w:rPr>
      </w:pPr>
    </w:p>
    <w:p w:rsidR="00C0425F" w:rsidRDefault="00C0425F"/>
    <w:p w:rsidR="00C0425F" w:rsidRDefault="00C0425F"/>
    <w:sectPr w:rsidR="00C0425F" w:rsidSect="00D311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527" w:rsidRDefault="003A6527" w:rsidP="00C0425F">
      <w:pPr>
        <w:spacing w:line="240" w:lineRule="auto"/>
      </w:pPr>
      <w:r>
        <w:separator/>
      </w:r>
    </w:p>
  </w:endnote>
  <w:endnote w:type="continuationSeparator" w:id="0">
    <w:p w:rsidR="003A6527" w:rsidRDefault="003A6527" w:rsidP="00C04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527" w:rsidRDefault="003A6527" w:rsidP="00C0425F">
      <w:pPr>
        <w:spacing w:line="240" w:lineRule="auto"/>
      </w:pPr>
      <w:r>
        <w:separator/>
      </w:r>
    </w:p>
  </w:footnote>
  <w:footnote w:type="continuationSeparator" w:id="0">
    <w:p w:rsidR="003A6527" w:rsidRDefault="003A6527" w:rsidP="00C042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1A"/>
    <w:rsid w:val="003A6527"/>
    <w:rsid w:val="0046171A"/>
    <w:rsid w:val="00BD2D0E"/>
    <w:rsid w:val="00C0425F"/>
    <w:rsid w:val="00D311F6"/>
    <w:rsid w:val="00F9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40094-D980-428D-8174-BE7CDB31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25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25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425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42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Чепыжов Павел Анатольевич</dc:creator>
  <cp:keywords/>
  <dc:description/>
  <cp:lastModifiedBy>Чепыжов Павел Анатольевич</cp:lastModifiedBy>
  <cp:revision>2</cp:revision>
  <dcterms:created xsi:type="dcterms:W3CDTF">2020-07-02T11:35:00Z</dcterms:created>
  <dcterms:modified xsi:type="dcterms:W3CDTF">2020-07-02T11:49:00Z</dcterms:modified>
</cp:coreProperties>
</file>