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222222"/>
          <w:spacing w:val="0"/>
          <w:sz w:val="28"/>
        </w:rPr>
      </w:r>
    </w:p>
    <w:tbl>
      <w:tblPr>
        <w:tblW w:w="9638" w:type="dxa"/>
        <w:jc w:val="left"/>
        <w:tblInd w:w="0" w:type="dxa"/>
        <w:tblLayout w:type="fixed"/>
        <w:tblCellMar>
          <w:top w:w="28" w:type="dxa"/>
          <w:left w:w="0" w:type="dxa"/>
          <w:bottom w:w="28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8" w:space="0" w:color="AEAAAA"/>
              <w:bottom w:val="single" w:sz="8" w:space="0" w:color="757171"/>
              <w:right w:val="single" w:sz="8" w:space="0" w:color="AEAAAA"/>
            </w:tcBorders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jc w:val="center"/>
              <w:rPr>
                <w:b/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Не принимается на страхование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1.Здания, строения в аварийном состоянии, подлежащие сносу, реконструкции, капитальному ремонту, непригодные для проживания/эксплуатации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 Здания, строения, расположенные в зоне стихийных бедствий.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 Квартиры, комнаты, расположенных в многоквартирных полностью деревянных домах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 Здания, строения  из горючих конструктивных материалов (деревянные конструкции), на территории которых проводятся или будут проводиться огневые (сварочные) работы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 Здания, строения, используемые не по назначению, или для ведения коммерческой деятельности например, в качестве складов горючих материалов, либо сдающиеся в краткосрочную аренду, магазины).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 Здания, строения, до 1996 г.п. не прошедшие капитальный ремонт.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 Гаражи в гаражных кооперативах.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 Комнаты в коммунальных квартирах и коммунальные квартиры целиком</w:t>
            </w:r>
            <w:r>
              <w:rPr>
                <w:b/>
                <w:color w:val="000000"/>
                <w:sz w:val="28"/>
              </w:rPr>
              <w:t>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9. Наличные деньги в российской и иностранной валюте.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10. Акции, облигации и другие ценные бумаги.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11. Рукописи, планы, чертежи и иные документы, бухгалтерские и деловые книги, картотеки.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 Взрывчатые вещества.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13. Все виды транспортных средств (за исключением мотороллеров, мопедов, квадро- и гидроциклов, снегоходов, мотовездеходов, при страховании их совместно с загородным строением), специализированная техника и оборудование, прицепы; жилые вагончики, передвижные домики и их принадлежности.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CE4D6" w:val="clear"/>
            <w:tcMar>
              <w:top w:w="0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14. Предметы религиозного культа.</w:t>
            </w:r>
          </w:p>
        </w:tc>
      </w:tr>
      <w:tr>
        <w:trPr/>
        <w:tc>
          <w:tcPr>
            <w:tcW w:w="9638" w:type="dxa"/>
            <w:tcBorders>
              <w:left w:val="single" w:sz="8" w:space="0" w:color="AEAAAA"/>
              <w:bottom w:val="single" w:sz="8" w:space="0" w:color="757171"/>
              <w:right w:val="single" w:sz="8" w:space="0" w:color="AEAAAA"/>
            </w:tcBorders>
            <w:shd w:fill="FCE4D6" w:val="clear"/>
            <w:tcMar>
              <w:top w:w="0" w:type="dxa"/>
              <w:left w:w="108" w:type="dxa"/>
            </w:tcMar>
            <w:vAlign w:val="center"/>
          </w:tcPr>
          <w:p>
            <w:pPr>
              <w:pStyle w:val="Style19"/>
              <w:widowControl w:val="false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 Если объект страхования в красной зоне, то на страхование также не принимается:</w:t>
              <w:br/>
              <w:t>- движимое имущество внутри объекта;</w:t>
              <w:br/>
              <w:t>- внутренняя отделка, инж. коммуникации, тех. оборудование;</w:t>
              <w:br/>
              <w:t>- ГО при эксплуатации данного объекта;</w:t>
            </w:r>
          </w:p>
        </w:tc>
      </w:tr>
    </w:tbl>
    <w:p>
      <w:pPr>
        <w:pStyle w:val="Style15"/>
        <w:widowControl/>
        <w:spacing w:before="0" w:after="0"/>
        <w:ind w:left="0" w:right="0" w:hanging="0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caps w:val="false"/>
          <w:smallCaps w:val="false"/>
          <w:color w:val="222222"/>
          <w:spacing w:val="0"/>
        </w:rPr>
        <w:t> </w:t>
      </w:r>
    </w:p>
    <w:p>
      <w:pPr>
        <w:pStyle w:val="Style15"/>
        <w:widowControl/>
        <w:spacing w:before="0" w:after="0"/>
        <w:ind w:left="0" w:right="0" w:hanging="0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Касательно территорий расположения частных домов – те же территории, что и у каско + каждый год список территорий меняется в зависимости от ситуации в стране: паводки, пожары, сейсмическая активность, территории проведения сво, террористической угрозы и тп.; места где объявлена чрезвычайная ситуация (например, оползни в Сочи). При введении новых ограничений, будет информационная рассылка.</w:t>
      </w:r>
    </w:p>
    <w:p>
      <w:pPr>
        <w:pStyle w:val="Style15"/>
        <w:widowControl/>
        <w:spacing w:before="0" w:after="0"/>
        <w:ind w:left="0" w:right="0" w:hanging="0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/>
      </w:r>
    </w:p>
    <w:p>
      <w:pPr>
        <w:pStyle w:val="Style15"/>
        <w:widowControl/>
        <w:spacing w:before="0" w:after="0"/>
        <w:ind w:left="0" w:right="0" w:hanging="0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Style15"/>
        <w:widowControl/>
        <w:spacing w:before="0" w:after="0"/>
        <w:ind w:left="0" w:right="0" w:hanging="0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Style15"/>
        <w:widowControl/>
        <w:spacing w:before="0" w:after="0"/>
        <w:ind w:left="0" w:right="0" w:hanging="0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222222"/>
          <w:spacing w:val="0"/>
          <w:sz w:val="28"/>
        </w:rPr>
        <w:t>Дополнительное согласование нужно при страховании:</w:t>
      </w:r>
    </w:p>
    <w:p>
      <w:pPr>
        <w:pStyle w:val="Style15"/>
        <w:widowControl/>
        <w:spacing w:before="0" w:after="0"/>
        <w:ind w:left="0" w:right="0" w:hanging="0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>
          <w:caps w:val="false"/>
          <w:smallCaps w:val="false"/>
          <w:color w:val="222222"/>
          <w:spacing w:val="0"/>
        </w:rPr>
        <w:t> </w:t>
      </w:r>
    </w:p>
    <w:tbl>
      <w:tblPr>
        <w:tblW w:w="9638" w:type="dxa"/>
        <w:jc w:val="left"/>
        <w:tblInd w:w="0" w:type="dxa"/>
        <w:tblLayout w:type="fixed"/>
        <w:tblCellMar>
          <w:top w:w="28" w:type="dxa"/>
          <w:left w:w="0" w:type="dxa"/>
          <w:bottom w:w="28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8" w:space="0" w:color="757171"/>
              <w:bottom w:val="single" w:sz="8" w:space="0" w:color="AEAAAA"/>
              <w:right w:val="single" w:sz="8" w:space="0" w:color="AEAAAA"/>
            </w:tcBorders>
            <w:shd w:fill="FFF2CC" w:val="clear"/>
            <w:vAlign w:val="center"/>
          </w:tcPr>
          <w:p>
            <w:pPr>
              <w:pStyle w:val="Style19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  Квартиры в домах до 1947 г.п. прошедшие реконструкцию, либо кап. ремонт с заменой всех коммуникаций.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FF2CC" w:val="clear"/>
            <w:tcMar>
              <w:top w:w="0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 Здания, строения, доп. постройки до 1996 г.п после  реконструкции, либо прошедшие кап. ремонт (замена всех коммуникаций, замена перекрытий).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FF2CC" w:val="clear"/>
            <w:tcMar>
              <w:top w:w="0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 Незавершенные частные дома имеющие закрытый теплый контур и минимальные охранные меры на территории.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FF2CC" w:val="clear"/>
            <w:tcMar>
              <w:top w:w="0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 Квартиры, в которых произведена перепланировка без специального разрешения компетентных органов</w:t>
            </w:r>
          </w:p>
        </w:tc>
      </w:tr>
      <w:tr>
        <w:trPr/>
        <w:tc>
          <w:tcPr>
            <w:tcW w:w="9638" w:type="dxa"/>
            <w:tcBorders>
              <w:bottom w:val="single" w:sz="8" w:space="0" w:color="AEAAAA"/>
              <w:right w:val="single" w:sz="8" w:space="0" w:color="AEAAAA"/>
            </w:tcBorders>
            <w:shd w:fill="FFF2CC" w:val="clear"/>
            <w:tcMar>
              <w:top w:w="0" w:type="dxa"/>
            </w:tcMar>
            <w:vAlign w:val="center"/>
          </w:tcPr>
          <w:p>
            <w:pPr>
              <w:pStyle w:val="Style19"/>
              <w:spacing w:before="0" w:after="0"/>
              <w:ind w:left="0" w:right="0" w:hang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 Мотороллеры, мопеды, квадро- и гидроциклы, снегоходы на хранении в строении на территории земельного участка, принадлежащего физическому лицу, совместно с основным строением.</w:t>
            </w:r>
          </w:p>
        </w:tc>
      </w:tr>
    </w:tbl>
    <w:p>
      <w:pPr>
        <w:pStyle w:val="Style15"/>
        <w:widowControl/>
        <w:spacing w:before="0" w:after="0"/>
        <w:ind w:left="0" w:right="0" w:hanging="0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/>
      </w:r>
    </w:p>
    <w:p>
      <w:pPr>
        <w:pStyle w:val="Style15"/>
        <w:widowControl/>
        <w:bidi w:val="0"/>
        <w:spacing w:before="0" w:after="0"/>
        <w:ind w:left="0" w:right="0" w:hanging="0"/>
        <w:jc w:val="left"/>
        <w:rPr>
          <w:rFonts w:ascii="Arial;Helvetica;sans-serif" w:hAnsi="Arial;Helvetica;sans-serif"/>
          <w:b/>
          <w:b/>
          <w:i w:val="false"/>
          <w:i w:val="false"/>
          <w:caps w:val="false"/>
          <w:smallCaps w:val="false"/>
          <w:color w:val="222222"/>
          <w:spacing w:val="0"/>
          <w:sz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LibreOffice/7.4.6.2$Windows_X86_64 LibreOffice_project/5b1f5509c2decdade7fda905e3e1429a67acd63d</Application>
  <AppVersion>15.0000</AppVersion>
  <Pages>2</Pages>
  <Words>337</Words>
  <Characters>2325</Characters>
  <CharactersWithSpaces>2645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2025-02-24T19:01:10Z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